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626C27D6" w:rsidR="0017528F" w:rsidRDefault="0017528F"/>
        <w:p w14:paraId="5C1869CB" w14:textId="084A9B15" w:rsidR="0017528F" w:rsidRDefault="0017528F">
          <w:pPr>
            <w:spacing w:after="160" w:line="259" w:lineRule="auto"/>
          </w:pPr>
        </w:p>
        <w:p w14:paraId="570F6C58" w14:textId="77777777" w:rsidR="00FD1524" w:rsidRDefault="00FD1524" w:rsidP="00FD1524">
          <w:pPr>
            <w:pStyle w:val="Title1"/>
          </w:pPr>
          <w:r w:rsidRPr="00FD1524">
            <w:t xml:space="preserve">POLICY FOR A/AS LEVELS AND GCSES FOR SUMMER 2021 </w:t>
          </w:r>
        </w:p>
        <w:p w14:paraId="7E631DAE" w14:textId="091072C4" w:rsidR="00FD1524" w:rsidRPr="002021F1" w:rsidRDefault="00FD1524" w:rsidP="00FD1524">
          <w:pPr>
            <w:pStyle w:val="Title1"/>
          </w:pPr>
          <w:r w:rsidRPr="002021F1">
            <w:t>St Michael’s Catholic Grammar School</w:t>
          </w:r>
        </w:p>
        <w:p w14:paraId="3B769C30" w14:textId="7E644CCA" w:rsidR="00FD1524" w:rsidRPr="002021F1" w:rsidRDefault="00FD1524" w:rsidP="00FD1524">
          <w:pPr>
            <w:pStyle w:val="Title1"/>
          </w:pPr>
          <w:r w:rsidRPr="002021F1">
            <w:rPr>
              <w:noProof/>
            </w:rPr>
            <w:drawing>
              <wp:inline distT="0" distB="0" distL="0" distR="0" wp14:anchorId="68A8E26C" wp14:editId="06D39769">
                <wp:extent cx="4695190" cy="3609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190" cy="3609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052C091" w14:textId="77777777" w:rsidR="00FD1524" w:rsidRPr="00FD1524" w:rsidRDefault="00FD1524" w:rsidP="00FD1524">
          <w:pPr>
            <w:pStyle w:val="Title1"/>
          </w:pPr>
          <w:r w:rsidRPr="00FD1524">
            <w:t>Founded by the Sisters of the Poor Child Jesus, in the trusteeship of St Michael’s Catholic School Trustee and a member of the Loreto Education Trust.</w:t>
          </w:r>
        </w:p>
        <w:p w14:paraId="11B2606E" w14:textId="77777777" w:rsidR="00FD1524" w:rsidRPr="002021F1" w:rsidRDefault="00FD1524" w:rsidP="00FD1524">
          <w:pPr>
            <w:pStyle w:val="Title1"/>
          </w:pPr>
        </w:p>
        <w:tbl>
          <w:tblPr>
            <w:tblW w:w="9441" w:type="dxa"/>
            <w:tblInd w:w="108" w:type="dxa"/>
            <w:tblBorders>
              <w:insideH w:val="single" w:sz="18" w:space="0" w:color="FFFFFF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2127"/>
            <w:gridCol w:w="3727"/>
            <w:gridCol w:w="3587"/>
          </w:tblGrid>
          <w:tr w:rsidR="00FD1524" w:rsidRPr="002021F1" w14:paraId="23524521" w14:textId="77777777" w:rsidTr="002D2E93">
            <w:tc>
              <w:tcPr>
                <w:tcW w:w="2127" w:type="dxa"/>
                <w:shd w:val="clear" w:color="auto" w:fill="BFBFBF"/>
              </w:tcPr>
              <w:p w14:paraId="032A2911" w14:textId="77777777" w:rsidR="00FD1524" w:rsidRPr="002021F1" w:rsidRDefault="00FD1524" w:rsidP="002D2E93">
                <w:pPr>
                  <w:rPr>
                    <w:b/>
                  </w:rPr>
                </w:pPr>
                <w:r w:rsidRPr="002021F1">
                  <w:rPr>
                    <w:b/>
                  </w:rPr>
                  <w:t>Approved by:</w:t>
                </w:r>
              </w:p>
            </w:tc>
            <w:tc>
              <w:tcPr>
                <w:tcW w:w="3727" w:type="dxa"/>
                <w:shd w:val="clear" w:color="auto" w:fill="BFBFBF"/>
              </w:tcPr>
              <w:p w14:paraId="03762122" w14:textId="161DAD0E" w:rsidR="00FD1524" w:rsidRPr="002021F1" w:rsidRDefault="00FD1524" w:rsidP="002D2E93">
                <w:r>
                  <w:t>M Stimpson</w:t>
                </w:r>
              </w:p>
            </w:tc>
            <w:tc>
              <w:tcPr>
                <w:tcW w:w="3587" w:type="dxa"/>
                <w:shd w:val="clear" w:color="auto" w:fill="BFBFBF"/>
              </w:tcPr>
              <w:p w14:paraId="65E1D26B" w14:textId="679085A8" w:rsidR="00FD1524" w:rsidRPr="002021F1" w:rsidRDefault="00FD1524" w:rsidP="002D2E93">
                <w:r w:rsidRPr="002021F1">
                  <w:rPr>
                    <w:b/>
                  </w:rPr>
                  <w:t>Date:</w:t>
                </w:r>
                <w:r>
                  <w:t xml:space="preserve"> 19</w:t>
                </w:r>
                <w:r w:rsidRPr="00FD1524">
                  <w:rPr>
                    <w:vertAlign w:val="superscript"/>
                  </w:rPr>
                  <w:t>th</w:t>
                </w:r>
                <w:r>
                  <w:t xml:space="preserve"> April 2021</w:t>
                </w:r>
              </w:p>
            </w:tc>
          </w:tr>
        </w:tbl>
        <w:p w14:paraId="26E99295" w14:textId="77777777" w:rsidR="00FD1524" w:rsidRPr="002021F1" w:rsidRDefault="00FD1524" w:rsidP="00FD1524">
          <w:pPr>
            <w:rPr>
              <w:b/>
            </w:rPr>
          </w:pP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7CCCE043" w14:textId="23C8A7C4" w:rsidR="00EA4C6B" w:rsidRDefault="007E069F" w:rsidP="00C65276">
          <w:pPr>
            <w:pStyle w:val="Heading1"/>
          </w:pPr>
          <w:bookmarkStart w:id="0" w:name="_ANNEX_2:_Worked"/>
          <w:bookmarkEnd w:id="0"/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4550EA">
            <w:t>: St Michael’s Catholic Grammar School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0348AA19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DC0FC0">
                  <w:rPr>
                    <w:rFonts w:eastAsia="Calibri" w:cs="Calibri"/>
                    <w:i/>
                    <w:iCs/>
                    <w:color w:val="000000" w:themeColor="text1"/>
                  </w:rPr>
                  <w:t>Michael Stimpson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6DBFA266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DC0FC0">
                  <w:rPr>
                    <w:rFonts w:eastAsia="Calibri" w:cs="Calibri"/>
                    <w:i/>
                    <w:iCs/>
                    <w:color w:val="000000" w:themeColor="text1"/>
                  </w:rPr>
                  <w:t>school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76442870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</w:t>
                </w:r>
                <w:r w:rsidR="00DC0FC0">
                  <w:rPr>
                    <w:b/>
                    <w:bCs/>
                    <w:i/>
                    <w:iCs/>
                  </w:rPr>
                  <w:t>D</w:t>
                </w:r>
                <w:r w:rsidRPr="00E275BD">
                  <w:rPr>
                    <w:b/>
                    <w:bCs/>
                    <w:i/>
                    <w:iCs/>
                  </w:rPr>
                  <w:t>C</w:t>
                </w:r>
                <w:r w:rsidR="00DC0FC0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6A7F11D1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, specialist teachers and SEN</w:t>
                </w:r>
                <w:r w:rsidR="00DC0FC0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DCO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10082CB2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E52794F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6F6FE53B" w14:textId="558E79D8" w:rsidR="009258F9" w:rsidRPr="00383D11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1121810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3ADA247B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3AF21586" w:rsidR="009258F9" w:rsidRDefault="009010AC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will be the Senior Leader Team Line Manager for that department</w:t>
                </w:r>
                <w:r w:rsidR="00064056">
                  <w:rPr>
                    <w:rFonts w:eastAsia="Calibri"/>
                    <w:i/>
                    <w:iCs/>
                  </w:rPr>
                  <w:t>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3658F93F" w14:textId="692DFD5D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2C2C86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2869B253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hidden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1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665CAC30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A70855">
                  <w:rPr>
                    <w:rFonts w:eastAsia="Calibri"/>
                    <w:i/>
                    <w:iCs/>
                    <w:color w:val="000000" w:themeColor="text1"/>
                  </w:rPr>
                  <w:t>making clear expectations, detailing consequences of wrongdoing and comparing assessments taken under test conditions with those not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7E5AA7B7" w14:textId="77777777" w:rsidR="009258F9" w:rsidRPr="00A70855" w:rsidRDefault="009258F9" w:rsidP="00A70855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</w:p>
              <w:p w14:paraId="5C3520B1" w14:textId="24F8F84F" w:rsidR="00A70855" w:rsidRDefault="00A70855" w:rsidP="00A70855">
                <w:pPr>
                  <w:pStyle w:val="ListParagraph"/>
                  <w:tabs>
                    <w:tab w:val="left" w:pos="599"/>
                  </w:tabs>
                  <w:ind w:left="599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t>Confidentiality</w:t>
          </w:r>
          <w:r>
            <w:t xml:space="preserve">, </w:t>
          </w:r>
          <w:bookmarkStart w:id="2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317F01E3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</w:t>
                </w:r>
                <w:r w:rsidR="00A70855">
                  <w:rPr>
                    <w:rFonts w:eastAsia="Calibri" w:cstheme="minorHAnsi"/>
                    <w:bCs/>
                    <w:i/>
                    <w:iCs/>
                  </w:rPr>
                  <w:t xml:space="preserve">(all encompassed in our Staff Code of Conduct)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4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27E4F863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5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459FBB3C" w14:textId="77777777" w:rsidR="009258F9" w:rsidRDefault="009258F9" w:rsidP="001D2ABF">
          <w:pPr>
            <w:pStyle w:val="Heading2"/>
          </w:pPr>
          <w:bookmarkStart w:id="4" w:name="_Hlk67142967"/>
          <w:r w:rsidRPr="0A7234CF">
            <w:t xml:space="preserve">Private candidates </w:t>
          </w:r>
        </w:p>
        <w:p w14:paraId="1BDEC5F7" w14:textId="435BB8E6" w:rsidR="009258F9" w:rsidRDefault="009258F9" w:rsidP="001D2ABF">
          <w:pPr>
            <w:pStyle w:val="StdPara"/>
          </w:pPr>
          <w:r>
            <w:t xml:space="preserve">This section of </w:t>
          </w:r>
          <w:r w:rsidR="00DA7946">
            <w:t>our</w:t>
          </w:r>
          <w:r>
            <w:t xml:space="preserve"> Centre Policy</w:t>
          </w:r>
          <w:r w:rsidR="00DA7946">
            <w:t xml:space="preserve"> </w:t>
          </w:r>
          <w:r>
            <w:t>outline</w:t>
          </w:r>
          <w:r w:rsidR="00DA7946">
            <w:t>s</w:t>
          </w:r>
          <w:r>
            <w:t xml:space="preserve"> our approach to working with Private Candidates to arrive at appropriate grades.</w:t>
          </w:r>
        </w:p>
        <w:p w14:paraId="4C5D4E0D" w14:textId="77777777" w:rsidR="009258F9" w:rsidRDefault="009258F9" w:rsidP="009258F9"/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2B60A2F6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328820D7" w14:textId="77777777" w:rsidR="009258F9" w:rsidRPr="009743AC" w:rsidRDefault="009258F9" w:rsidP="008276A8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09743AC">
                  <w:rPr>
                    <w:rFonts w:eastAsia="Calibri"/>
                    <w:b/>
                    <w:bCs/>
                    <w:color w:val="000000" w:themeColor="text1"/>
                  </w:rPr>
                  <w:t>Private Candidates</w:t>
                </w:r>
              </w:p>
            </w:tc>
          </w:tr>
          <w:tr w:rsidR="009258F9" w14:paraId="3F2B28C2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5587C74" w14:textId="34A4B8AC" w:rsidR="009258F9" w:rsidRDefault="00DA794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providing and quality assuring grades to Private Candidates.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EAB33C0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D2624C1" w14:textId="0CCBF8A8" w:rsidR="009258F9" w:rsidRPr="003B3578" w:rsidRDefault="00445192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 a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>rrangements for assessing Private Candidates to arrive at appropriate grades are identical to the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es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utilised for internal candidates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B5CE9FD" w14:textId="68DD0035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Where it has been necessary to utilise different approaches,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 on Private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has been followed and any divergences from 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 xml:space="preserve"> for internal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recorded on the appropriate class/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documentation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6895BA3" w14:textId="3DA0DFE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 undertaking the review of cohort grades in conjunction with our centre results profiles from previous examined years, the grades</w:t>
                </w:r>
                <w:r w:rsidR="00506A0D">
                  <w:rPr>
                    <w:rFonts w:eastAsia="Calibri" w:cstheme="minorHAnsi"/>
                    <w:bCs/>
                    <w:i/>
                    <w:iCs/>
                  </w:rPr>
                  <w:t xml:space="preserve"> determined by our centre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for Private Candidates have been excluded from 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analysis.</w:t>
                </w:r>
              </w:p>
              <w:p w14:paraId="6E8D560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6E46F63" w14:textId="7777777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684449AF" w:rsidR="009258F9" w:rsidRPr="003B3578" w:rsidRDefault="002A39A4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="009258F9" w:rsidRPr="003B3578">
                  <w:rPr>
                    <w:rFonts w:eastAsia="Calibri"/>
                    <w:i/>
                    <w:iCs/>
                  </w:rPr>
                  <w:t xml:space="preserve">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="009258F9"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="009258F9"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2D630B6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="002A39A4">
                  <w:rPr>
                    <w:rFonts w:eastAsia="Calibri" w:cstheme="minorHAnsi"/>
                    <w:bCs/>
                    <w:i/>
                    <w:iCs/>
                  </w:rPr>
                  <w:t>will be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68782CE6" w:rsidR="009258F9" w:rsidRPr="003B3578" w:rsidRDefault="002A39A4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All necessary staff will be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B47F719" w:rsidR="009258F9" w:rsidRPr="003B3578" w:rsidRDefault="002A39A4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Leaners will be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3751803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 w:rsidR="002A39A4">
                  <w:rPr>
                    <w:rFonts w:eastAsia="Calibri" w:cstheme="minorHAnsi"/>
                    <w:bCs/>
                  </w:rPr>
                  <w:t>.</w:t>
                </w:r>
              </w:p>
              <w:p w14:paraId="373C9B60" w14:textId="21793F10" w:rsidR="002A39A4" w:rsidRDefault="002A39A4" w:rsidP="002A39A4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742C7F00" w14:textId="2C347F21" w:rsidR="00D42143" w:rsidRPr="002A39A4" w:rsidRDefault="004D22EB" w:rsidP="002A39A4">
          <w:pPr>
            <w:pStyle w:val="StdPara"/>
          </w:pPr>
        </w:p>
      </w:sdtContent>
    </w:sdt>
    <w:sectPr w:rsidR="00D42143" w:rsidRPr="002A39A4" w:rsidSect="008E75C6">
      <w:headerReference w:type="default" r:id="rId16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354E" w14:textId="77777777" w:rsidR="004D22EB" w:rsidRDefault="004D22EB" w:rsidP="00454767">
      <w:r>
        <w:separator/>
      </w:r>
    </w:p>
  </w:endnote>
  <w:endnote w:type="continuationSeparator" w:id="0">
    <w:p w14:paraId="1378EA7F" w14:textId="77777777" w:rsidR="004D22EB" w:rsidRDefault="004D22EB" w:rsidP="00454767">
      <w:r>
        <w:continuationSeparator/>
      </w:r>
    </w:p>
  </w:endnote>
  <w:endnote w:type="continuationNotice" w:id="1">
    <w:p w14:paraId="516F5293" w14:textId="77777777" w:rsidR="004D22EB" w:rsidRDefault="004D2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17E2B333" w:rsidR="00A70855" w:rsidRPr="004D2770" w:rsidRDefault="00FD1524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>
          <w:rPr>
            <w:noProof/>
            <w:color w:val="5B5834"/>
          </w:rPr>
          <w:t>1</w:t>
        </w:r>
        <w:r w:rsidR="00A70855" w:rsidRPr="004D2770">
          <w:rPr>
            <w:color w:val="5B5834"/>
          </w:rPr>
          <w:t xml:space="preserve"> | </w:t>
        </w:r>
        <w:r w:rsidR="00A70855"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A5A5" w14:textId="77777777" w:rsidR="004D22EB" w:rsidRDefault="004D22EB" w:rsidP="00454767">
      <w:r>
        <w:separator/>
      </w:r>
    </w:p>
  </w:footnote>
  <w:footnote w:type="continuationSeparator" w:id="0">
    <w:p w14:paraId="7CBE77EA" w14:textId="77777777" w:rsidR="004D22EB" w:rsidRDefault="004D22EB" w:rsidP="00454767">
      <w:r>
        <w:continuationSeparator/>
      </w:r>
    </w:p>
  </w:footnote>
  <w:footnote w:type="continuationNotice" w:id="1">
    <w:p w14:paraId="76F31FE0" w14:textId="77777777" w:rsidR="004D22EB" w:rsidRDefault="004D2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5A4C7DEF" w:rsidR="00A70855" w:rsidRPr="004B596B" w:rsidRDefault="00A7085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</w:p>
  <w:p w14:paraId="441A1723" w14:textId="60259B1E" w:rsidR="00A70855" w:rsidRPr="00B3673F" w:rsidRDefault="00A70855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28415">
    <w:abstractNumId w:val="0"/>
  </w:num>
  <w:num w:numId="2" w16cid:durableId="697312951">
    <w:abstractNumId w:val="5"/>
  </w:num>
  <w:num w:numId="3" w16cid:durableId="694769783">
    <w:abstractNumId w:val="6"/>
  </w:num>
  <w:num w:numId="4" w16cid:durableId="2097633960">
    <w:abstractNumId w:val="1"/>
  </w:num>
  <w:num w:numId="5" w16cid:durableId="1422407404">
    <w:abstractNumId w:val="19"/>
  </w:num>
  <w:num w:numId="6" w16cid:durableId="604963562">
    <w:abstractNumId w:val="36"/>
  </w:num>
  <w:num w:numId="7" w16cid:durableId="42489920">
    <w:abstractNumId w:val="21"/>
  </w:num>
  <w:num w:numId="8" w16cid:durableId="305474935">
    <w:abstractNumId w:val="25"/>
  </w:num>
  <w:num w:numId="9" w16cid:durableId="1179125650">
    <w:abstractNumId w:val="30"/>
  </w:num>
  <w:num w:numId="10" w16cid:durableId="1934244636">
    <w:abstractNumId w:val="20"/>
  </w:num>
  <w:num w:numId="11" w16cid:durableId="72626663">
    <w:abstractNumId w:val="33"/>
  </w:num>
  <w:num w:numId="12" w16cid:durableId="1103308964">
    <w:abstractNumId w:val="10"/>
  </w:num>
  <w:num w:numId="13" w16cid:durableId="265815837">
    <w:abstractNumId w:val="4"/>
  </w:num>
  <w:num w:numId="14" w16cid:durableId="695278908">
    <w:abstractNumId w:val="31"/>
  </w:num>
  <w:num w:numId="15" w16cid:durableId="533538699">
    <w:abstractNumId w:val="26"/>
  </w:num>
  <w:num w:numId="16" w16cid:durableId="1068456679">
    <w:abstractNumId w:val="22"/>
  </w:num>
  <w:num w:numId="17" w16cid:durableId="1368985911">
    <w:abstractNumId w:val="18"/>
  </w:num>
  <w:num w:numId="18" w16cid:durableId="1964917317">
    <w:abstractNumId w:val="7"/>
  </w:num>
  <w:num w:numId="19" w16cid:durableId="1180781048">
    <w:abstractNumId w:val="34"/>
  </w:num>
  <w:num w:numId="20" w16cid:durableId="605770094">
    <w:abstractNumId w:val="2"/>
  </w:num>
  <w:num w:numId="21" w16cid:durableId="433019032">
    <w:abstractNumId w:val="17"/>
  </w:num>
  <w:num w:numId="22" w16cid:durableId="415640537">
    <w:abstractNumId w:val="24"/>
  </w:num>
  <w:num w:numId="23" w16cid:durableId="412359380">
    <w:abstractNumId w:val="15"/>
  </w:num>
  <w:num w:numId="24" w16cid:durableId="861212655">
    <w:abstractNumId w:val="9"/>
  </w:num>
  <w:num w:numId="25" w16cid:durableId="36249767">
    <w:abstractNumId w:val="11"/>
  </w:num>
  <w:num w:numId="26" w16cid:durableId="982664606">
    <w:abstractNumId w:val="35"/>
  </w:num>
  <w:num w:numId="27" w16cid:durableId="460542839">
    <w:abstractNumId w:val="27"/>
  </w:num>
  <w:num w:numId="28" w16cid:durableId="1918787123">
    <w:abstractNumId w:val="16"/>
  </w:num>
  <w:num w:numId="29" w16cid:durableId="768891571">
    <w:abstractNumId w:val="13"/>
  </w:num>
  <w:num w:numId="30" w16cid:durableId="147945702">
    <w:abstractNumId w:val="12"/>
  </w:num>
  <w:num w:numId="31" w16cid:durableId="195436484">
    <w:abstractNumId w:val="8"/>
  </w:num>
  <w:num w:numId="32" w16cid:durableId="533734455">
    <w:abstractNumId w:val="29"/>
  </w:num>
  <w:num w:numId="33" w16cid:durableId="269513053">
    <w:abstractNumId w:val="23"/>
  </w:num>
  <w:num w:numId="34" w16cid:durableId="495462773">
    <w:abstractNumId w:val="3"/>
  </w:num>
  <w:num w:numId="35" w16cid:durableId="1248002095">
    <w:abstractNumId w:val="28"/>
  </w:num>
  <w:num w:numId="36" w16cid:durableId="351415650">
    <w:abstractNumId w:val="32"/>
  </w:num>
  <w:num w:numId="37" w16cid:durableId="1003046191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9A4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550EA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2EB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400F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10AC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0855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0FC0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1524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  <w:style w:type="paragraph" w:customStyle="1" w:styleId="Title1">
    <w:name w:val="Title 1"/>
    <w:basedOn w:val="Heading1"/>
    <w:link w:val="Title1Char"/>
    <w:autoRedefine/>
    <w:qFormat/>
    <w:rsid w:val="00FD1524"/>
    <w:pPr>
      <w:spacing w:before="480" w:after="120"/>
      <w:jc w:val="center"/>
    </w:pPr>
    <w:rPr>
      <w:rFonts w:ascii="Arial" w:eastAsia="MS Gothic" w:hAnsi="Arial" w:cs="Arial"/>
      <w:b/>
      <w:bCs/>
      <w:color w:val="auto"/>
      <w:sz w:val="28"/>
      <w:szCs w:val="28"/>
    </w:rPr>
  </w:style>
  <w:style w:type="character" w:customStyle="1" w:styleId="Title1Char">
    <w:name w:val="Title 1 Char"/>
    <w:link w:val="Title1"/>
    <w:rsid w:val="00FD1524"/>
    <w:rPr>
      <w:rFonts w:ascii="Arial" w:eastAsia="MS Gothic" w:hAnsi="Arial" w:cs="Arial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98314-B989-4F32-BABC-BFA3D8B693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Catholic Grammar School</vt:lpstr>
    </vt:vector>
  </TitlesOfParts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Catholic Grammar School</dc:title>
  <dc:subject>POLICY for A/AS Levels and GCSEs for summer 2021</dc:subject>
  <dc:creator>Philip Wright</dc:creator>
  <cp:keywords/>
  <dc:description/>
  <cp:lastModifiedBy>Aaron Johncock</cp:lastModifiedBy>
  <cp:revision>2</cp:revision>
  <dcterms:created xsi:type="dcterms:W3CDTF">2022-07-19T09:19:00Z</dcterms:created>
  <dcterms:modified xsi:type="dcterms:W3CDTF">2022-07-19T09:19:00Z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